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8" w:rsidRPr="002F6BD8" w:rsidRDefault="00092644" w:rsidP="00A42E12">
      <w:pPr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0F16E6">
        <w:rPr>
          <w:noProof/>
          <w:sz w:val="28"/>
          <w:szCs w:val="28"/>
          <w:lang w:eastAsia="ru-RU"/>
        </w:rPr>
        <w:drawing>
          <wp:inline distT="0" distB="0" distL="0" distR="0">
            <wp:extent cx="266700" cy="600075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C8" w:rsidRPr="002F6BD8" w:rsidRDefault="00A13BC8" w:rsidP="00A13BC8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A13BC8" w:rsidRPr="002F6BD8" w:rsidRDefault="00A13BC8" w:rsidP="00A13BC8">
      <w:pPr>
        <w:rPr>
          <w:rFonts w:ascii="Times New Roman" w:hAnsi="Times New Roman"/>
        </w:rPr>
      </w:pPr>
    </w:p>
    <w:p w:rsidR="00A13BC8" w:rsidRPr="002F6BD8" w:rsidRDefault="00A13BC8" w:rsidP="00A13BC8">
      <w:pPr>
        <w:jc w:val="center"/>
        <w:rPr>
          <w:rFonts w:ascii="Times New Roman" w:hAnsi="Times New Roman"/>
          <w:b/>
          <w:sz w:val="34"/>
          <w:szCs w:val="34"/>
        </w:rPr>
      </w:pPr>
      <w:r w:rsidRPr="002F6BD8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A13BC8" w:rsidRPr="00CF52B5" w:rsidRDefault="00A13BC8" w:rsidP="00A13BC8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2F6BD8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13BC8" w:rsidRDefault="00A13BC8" w:rsidP="00A13BC8">
      <w:pPr>
        <w:spacing w:after="0" w:line="240" w:lineRule="auto"/>
        <w:ind w:right="283"/>
        <w:rPr>
          <w:rFonts w:ascii="Times New Roman" w:hAnsi="Times New Roman"/>
          <w:szCs w:val="24"/>
        </w:rPr>
      </w:pPr>
    </w:p>
    <w:p w:rsidR="00092644" w:rsidRPr="00A13BC8" w:rsidRDefault="004A5A32" w:rsidP="00A13BC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  <w:shd w:val="clear" w:color="auto" w:fill="FFCC99"/>
        </w:rPr>
      </w:pPr>
      <w:r>
        <w:rPr>
          <w:rFonts w:ascii="Times New Roman" w:hAnsi="Times New Roman"/>
          <w:sz w:val="28"/>
          <w:szCs w:val="28"/>
        </w:rPr>
        <w:t>24</w:t>
      </w:r>
      <w:r w:rsidR="00A13BC8" w:rsidRPr="004A5A32">
        <w:rPr>
          <w:rFonts w:ascii="Times New Roman" w:hAnsi="Times New Roman"/>
          <w:sz w:val="28"/>
          <w:szCs w:val="28"/>
        </w:rPr>
        <w:t>.05.2023 г.</w:t>
      </w:r>
      <w:r w:rsidR="00A13BC8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A13BC8">
        <w:rPr>
          <w:rFonts w:ascii="Times New Roman" w:hAnsi="Times New Roman"/>
          <w:sz w:val="28"/>
          <w:szCs w:val="28"/>
        </w:rPr>
        <w:t xml:space="preserve">с. </w:t>
      </w:r>
      <w:r w:rsidR="00A13BC8" w:rsidRPr="004A5A32">
        <w:rPr>
          <w:rFonts w:ascii="Times New Roman" w:hAnsi="Times New Roman"/>
          <w:sz w:val="28"/>
          <w:szCs w:val="28"/>
        </w:rPr>
        <w:t>Николаевка                                    №</w:t>
      </w:r>
      <w:r w:rsidR="00A13BC8" w:rsidRPr="004A5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A13BC8" w:rsidRPr="004A5A32">
        <w:rPr>
          <w:rFonts w:ascii="Times New Roman" w:hAnsi="Times New Roman"/>
          <w:sz w:val="28"/>
          <w:szCs w:val="28"/>
        </w:rPr>
        <w:t>-п</w:t>
      </w:r>
      <w:r w:rsidR="00A13BC8">
        <w:rPr>
          <w:rFonts w:ascii="Times New Roman" w:hAnsi="Times New Roman"/>
          <w:sz w:val="28"/>
          <w:szCs w:val="28"/>
        </w:rPr>
        <w:t xml:space="preserve">                      </w:t>
      </w:r>
    </w:p>
    <w:p w:rsidR="00092644" w:rsidRPr="00A13BC8" w:rsidRDefault="00092644">
      <w:pPr>
        <w:spacing w:after="0" w:line="240" w:lineRule="auto"/>
        <w:ind w:right="-74"/>
        <w:rPr>
          <w:rFonts w:ascii="Times New Roman" w:hAnsi="Times New Roman"/>
          <w:sz w:val="28"/>
          <w:szCs w:val="28"/>
          <w:lang w:eastAsia="ar-SA"/>
        </w:rPr>
      </w:pPr>
    </w:p>
    <w:p w:rsidR="00092644" w:rsidRDefault="00092644">
      <w:pPr>
        <w:pStyle w:val="af9"/>
      </w:pPr>
      <w: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9211"/>
      </w:tblGrid>
      <w:tr w:rsidR="00092644">
        <w:trPr>
          <w:trHeight w:val="1000"/>
        </w:trPr>
        <w:tc>
          <w:tcPr>
            <w:tcW w:w="9211" w:type="dxa"/>
            <w:shd w:val="clear" w:color="auto" w:fill="auto"/>
          </w:tcPr>
          <w:p w:rsidR="00092644" w:rsidRDefault="0009264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«Об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      </w:r>
            <w:r w:rsidR="00A13BC8">
              <w:rPr>
                <w:rFonts w:ascii="Times New Roman" w:hAnsi="Times New Roman"/>
                <w:sz w:val="28"/>
                <w:szCs w:val="28"/>
              </w:rPr>
              <w:t xml:space="preserve">Николаевский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области»</w:t>
            </w:r>
          </w:p>
        </w:tc>
      </w:tr>
    </w:tbl>
    <w:p w:rsidR="00092644" w:rsidRDefault="00092644">
      <w:pPr>
        <w:spacing w:after="0" w:line="240" w:lineRule="auto"/>
        <w:jc w:val="both"/>
      </w:pPr>
      <w:r>
        <w:rPr>
          <w:rFonts w:ascii="Verdana" w:hAnsi="Verdana" w:cs="Verdana"/>
          <w:sz w:val="21"/>
          <w:szCs w:val="21"/>
          <w:lang w:eastAsia="ru-RU"/>
        </w:rPr>
        <w:t> </w:t>
      </w:r>
      <w:r>
        <w:rPr>
          <w:rFonts w:ascii="Verdana" w:eastAsia="Verdana" w:hAnsi="Verdana" w:cs="Verdana"/>
          <w:sz w:val="21"/>
          <w:szCs w:val="21"/>
          <w:lang w:eastAsia="ru-RU"/>
        </w:rPr>
        <w:t xml:space="preserve">        </w:t>
      </w:r>
    </w:p>
    <w:p w:rsidR="00092644" w:rsidRDefault="00092644">
      <w:pPr>
        <w:ind w:firstLine="709"/>
        <w:jc w:val="both"/>
      </w:pPr>
      <w:r>
        <w:rPr>
          <w:rFonts w:cs="Calibri"/>
          <w:sz w:val="28"/>
          <w:szCs w:val="28"/>
        </w:rPr>
        <w:t xml:space="preserve"> </w:t>
      </w:r>
    </w:p>
    <w:p w:rsidR="00092644" w:rsidRDefault="00092644">
      <w:pPr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Уставом муниципального образования </w:t>
      </w:r>
      <w:r w:rsidR="00A13BC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Саракташского района Оренбургской области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 территории сельского поселения </w:t>
      </w:r>
      <w:r w:rsidR="00A13BC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Оренбургской области:</w:t>
      </w:r>
    </w:p>
    <w:p w:rsidR="00092644" w:rsidRDefault="00092644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организации и осуществлении мероприятий по увековечению памяти погибших при защите Отечества, </w:t>
      </w:r>
      <w:r>
        <w:rPr>
          <w:rFonts w:ascii="Times New Roman" w:hAnsi="Times New Roman"/>
          <w:sz w:val="28"/>
          <w:szCs w:val="28"/>
        </w:rPr>
        <w:t xml:space="preserve">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 согласно приложению.</w:t>
      </w:r>
    </w:p>
    <w:p w:rsidR="00092644" w:rsidRDefault="00092644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 в Информационном бюллетене «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 xml:space="preserve">сельсовет» и подлежит размещению на сайте администрации </w:t>
      </w:r>
      <w:r w:rsidR="00A13BC8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92644" w:rsidRDefault="00092644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Контроль за исполнением данного постановления оставляю за собой.</w:t>
      </w:r>
    </w:p>
    <w:p w:rsidR="00092644" w:rsidRDefault="00092644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BC8" w:rsidRPr="00A13BC8" w:rsidRDefault="00A13BC8" w:rsidP="00A13BC8">
      <w:pPr>
        <w:pStyle w:val="aff6"/>
        <w:rPr>
          <w:rFonts w:ascii="Times New Roman" w:hAnsi="Times New Roman"/>
          <w:sz w:val="28"/>
          <w:szCs w:val="28"/>
        </w:rPr>
      </w:pPr>
      <w:r w:rsidRPr="00A13BC8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092644" w:rsidRPr="00A13BC8" w:rsidRDefault="00A13BC8" w:rsidP="00A13BC8">
      <w:pPr>
        <w:pStyle w:val="aff6"/>
        <w:rPr>
          <w:rFonts w:ascii="Times New Roman" w:hAnsi="Times New Roman"/>
          <w:sz w:val="28"/>
          <w:szCs w:val="28"/>
        </w:rPr>
      </w:pPr>
      <w:r w:rsidRPr="00A13BC8">
        <w:rPr>
          <w:rFonts w:ascii="Times New Roman" w:hAnsi="Times New Roman"/>
          <w:sz w:val="28"/>
          <w:szCs w:val="28"/>
        </w:rPr>
        <w:t xml:space="preserve">образования Николаевский сельсовет </w:t>
      </w:r>
      <w:r w:rsidR="00092644" w:rsidRPr="00A13BC8">
        <w:rPr>
          <w:rFonts w:ascii="Times New Roman" w:eastAsia="Tahoma" w:hAnsi="Times New Roman"/>
          <w:kern w:val="2"/>
          <w:sz w:val="28"/>
          <w:szCs w:val="28"/>
        </w:rPr>
        <w:t xml:space="preserve">                                  </w:t>
      </w:r>
      <w:r w:rsidRPr="00A13BC8">
        <w:rPr>
          <w:rFonts w:ascii="Times New Roman" w:eastAsia="Tahoma" w:hAnsi="Times New Roman"/>
          <w:kern w:val="2"/>
          <w:sz w:val="28"/>
          <w:szCs w:val="28"/>
        </w:rPr>
        <w:t>Калмыкова Т.В</w:t>
      </w:r>
      <w:r w:rsidR="00092644" w:rsidRPr="00A13BC8">
        <w:rPr>
          <w:rFonts w:ascii="Times New Roman" w:eastAsia="Tahoma" w:hAnsi="Times New Roman"/>
          <w:kern w:val="2"/>
          <w:sz w:val="28"/>
          <w:szCs w:val="28"/>
        </w:rPr>
        <w:t xml:space="preserve">             </w:t>
      </w:r>
    </w:p>
    <w:p w:rsidR="00A13BC8" w:rsidRDefault="00A13BC8">
      <w:pPr>
        <w:spacing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 w:rsidP="00A13BC8">
      <w:pPr>
        <w:spacing w:line="240" w:lineRule="auto"/>
        <w:jc w:val="both"/>
      </w:pPr>
      <w:r>
        <w:rPr>
          <w:rFonts w:ascii="Times New Roman" w:hAnsi="Times New Roman"/>
          <w:w w:val="106"/>
          <w:sz w:val="28"/>
          <w:szCs w:val="28"/>
        </w:rPr>
        <w:t>Разослано: администрации района, прокуратуре района, сайт сельсовета, в дело.</w:t>
      </w: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092644" w:rsidRDefault="00092644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E12" w:rsidRDefault="00A42E12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widowControl w:val="0"/>
        <w:autoSpaceDE w:val="0"/>
        <w:spacing w:after="0" w:line="240" w:lineRule="auto"/>
        <w:ind w:left="4536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постановлению  администрации </w:t>
      </w:r>
      <w:r w:rsidR="00A13BC8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092644" w:rsidRDefault="00092644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Саракташского района   </w:t>
      </w:r>
    </w:p>
    <w:p w:rsidR="00092644" w:rsidRDefault="00092644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Оренбургской области</w:t>
      </w:r>
    </w:p>
    <w:p w:rsidR="00092644" w:rsidRDefault="00092644">
      <w:pPr>
        <w:spacing w:after="0" w:line="240" w:lineRule="auto"/>
        <w:ind w:left="3540"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 2</w:t>
      </w:r>
      <w:r w:rsidR="00787BB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.05.2023   № 75-п</w:t>
      </w:r>
    </w:p>
    <w:p w:rsidR="00092644" w:rsidRDefault="0009264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Положение</w:t>
      </w:r>
    </w:p>
    <w:p w:rsidR="00092644" w:rsidRDefault="0009264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«Об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области»</w:t>
      </w:r>
    </w:p>
    <w:p w:rsidR="00092644" w:rsidRDefault="00092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Российской Федерации от 14.01.1993 № 4292-1 «Об увековечении памяти погибших при защите Отечества»,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 Администрация </w:t>
      </w:r>
      <w:r w:rsidR="00A13BC8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В виду отсутствия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2. Порядок учета воинских захоронений, мемориальных сооружений и объектов, увековечивающих память погибших при защите Отечества</w:t>
      </w: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объектами,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2.2. Учету подлежат все воинские захоронения, мемориальные сооружения и объекты.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их учет ведется Администрацией </w:t>
      </w:r>
      <w:r w:rsidR="00A13BC8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Документы муниципального учета мемориальных сооружений и объектов подлежат постоянному хранению.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A13BC8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ведется учетная ведомость воинских захоронений по форме согласно приложению № 1 к настоящему Положению.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– мемориальный знак.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2.3. 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 второй – в отделе военного комиссариата по Саракташскому и Беляевскому районам.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2.4. Мемориальный знак изготавливается в виде прямоугольной пластины с нанесением на нее надписей и обозначений методом,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обеспечивающим их хорошую читаемость, различаемость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Отечества, расположенных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области; сведения о времени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центре пластины выше информационных надписей располагается эмблема воинского захоронения. 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Установленный на воинском захоронении знак может быть демонтирован (устранен) по решению администрации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2.5. Уполномоченный специалист администрации </w:t>
      </w:r>
      <w:r w:rsidR="00A13BC8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ведет реестр воинских захоронений, увековечивающих память погибших при защите Отечества и находящихся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в соответствии с действующим законодательством и настоящим Положением осуществляется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3.2. 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учет и паспортизацию воинских захоронений, мемориальных сооружений и объектов, увековечивающих память при защите Отечества, расположенных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 не состоящих на государственной охране, как памятники истории и культуры;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организация производства работ по захоронению вновь обнаруженных останков, погибших при защите Отечества;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установление охранных досок, мемориальных знаков на территории воинских захоронений, погибших при защите Отечества;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ремонтно-реставрационных работ;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Финансовое и материально-техническое обеспечение мероприятий по увековечению памяти погибших при защите Отечества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4.1. Расходы на проведение мероприятий, связанных с увековечением памяти погибших при защите Отечества, осуществляется за счет средств местного бюджета в соответствии с компетенцией Администрации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 а также добровольных взносов и пожертвований юридических и физических лиц.</w:t>
      </w: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092644">
        <w:tc>
          <w:tcPr>
            <w:tcW w:w="4672" w:type="dxa"/>
            <w:shd w:val="clear" w:color="auto" w:fill="auto"/>
          </w:tcPr>
          <w:p w:rsidR="00092644" w:rsidRDefault="00092644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092644" w:rsidRDefault="0009264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Положению</w:t>
            </w:r>
          </w:p>
          <w:p w:rsidR="00092644" w:rsidRDefault="00092644"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      </w:r>
            <w:r w:rsidR="00A13BC8">
              <w:rPr>
                <w:rFonts w:ascii="Times New Roman" w:hAnsi="Times New Roman"/>
                <w:sz w:val="24"/>
                <w:szCs w:val="24"/>
              </w:rPr>
              <w:t xml:space="preserve">Николаевский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</w:tr>
    </w:tbl>
    <w:p w:rsidR="00092644" w:rsidRDefault="0009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учетной ведомости воинских захоронений на территории сельского поселения </w:t>
      </w:r>
      <w:r w:rsidR="00A13BC8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2"/>
        <w:gridCol w:w="1134"/>
        <w:gridCol w:w="993"/>
        <w:gridCol w:w="567"/>
        <w:gridCol w:w="850"/>
        <w:gridCol w:w="992"/>
        <w:gridCol w:w="851"/>
        <w:gridCol w:w="1276"/>
        <w:gridCol w:w="1134"/>
        <w:gridCol w:w="986"/>
      </w:tblGrid>
      <w:tr w:rsidR="00092644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Номер паспорта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 захоронений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Тип воинского захоронения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воинского захоронения</w:t>
            </w:r>
          </w:p>
        </w:tc>
      </w:tr>
      <w:tr w:rsidR="00092644">
        <w:trPr>
          <w:trHeight w:val="6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известных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неизвестных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первую мировую войну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иных боевых действиях (с указанием страны, региона)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ectPr w:rsidR="00092644"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092644" w:rsidRDefault="00092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092644">
        <w:tc>
          <w:tcPr>
            <w:tcW w:w="4672" w:type="dxa"/>
            <w:shd w:val="clear" w:color="auto" w:fill="auto"/>
          </w:tcPr>
          <w:p w:rsidR="00092644" w:rsidRDefault="00092644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092644" w:rsidRDefault="000926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 к Положению</w:t>
            </w:r>
          </w:p>
          <w:p w:rsidR="00092644" w:rsidRDefault="00092644"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      </w:r>
            <w:r w:rsidR="00A13BC8">
              <w:rPr>
                <w:rFonts w:ascii="Times New Roman" w:hAnsi="Times New Roman"/>
                <w:sz w:val="24"/>
                <w:szCs w:val="24"/>
              </w:rPr>
              <w:t xml:space="preserve">Николаевский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</w:tr>
    </w:tbl>
    <w:p w:rsidR="00092644" w:rsidRDefault="0009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воинского захоронения или объекта (захоронения) №_____</w:t>
      </w: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(страна, кадастровый номер земельного участка или иной государственный учетный номер (при наличии), адрес (при наличии) или местоположение)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1. Место и дата захоронения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(место, дата захоронения (создания); если на кладбище или в могиле погребены останки воинов в порядке перезахоронения, то указывается, откуда и когда они перезахоронены)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2. Вид захоронения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 индивидуальных могил)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3. Размеры захоронения и его состояние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(ширина и длина кладбища, воинского участка кладбища или отдельных могил, наличие и тип ограждения, состояние захоронения (хорошее, удовлетворительное, аварийное)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Краткое описание памятника (надгробия), захоронения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(краткое описание, размеры, материал, из которого он изготовлен, дата установки, фамилия и инициалы автора, техническое состояние памятника, также сообщается о наличии мемориального сооружения, содержащего "Вечный огонь" или "Огонь памяти", другие сведения)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5. Количество захороненных</w:t>
      </w:r>
    </w:p>
    <w:p w:rsidR="00092644" w:rsidRDefault="0009264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8"/>
        <w:gridCol w:w="3235"/>
        <w:gridCol w:w="2778"/>
      </w:tblGrid>
      <w:tr w:rsidR="00092644"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92644"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</w:tr>
      <w:tr w:rsidR="0009264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(общее количество захороненных, в том числе (при наличии данных) отдельно военнослужащих, партизан, участников движения сопротивления, военнопленных, воинов-интернационалистов)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6. Сведения о захороненных</w:t>
      </w:r>
    </w:p>
    <w:p w:rsidR="00092644" w:rsidRDefault="0009264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632"/>
        <w:gridCol w:w="1125"/>
        <w:gridCol w:w="1559"/>
        <w:gridCol w:w="794"/>
        <w:gridCol w:w="1104"/>
        <w:gridCol w:w="1854"/>
        <w:gridCol w:w="1038"/>
      </w:tblGrid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подразделение/воинская часть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</w:t>
            </w:r>
          </w:p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(смерти)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bookmarkStart w:id="1" w:name="P11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(вносятся достоверно установленные сведения о каждом из захороненных; если эти сведения имеются более чем на 10 захороненных, то на них составляется список захороненных (в том числе в электронной форме), который прилагается к паспорту в качестве вкладыша, а в </w:t>
      </w:r>
      <w:hyperlink w:anchor="P117" w:history="1">
        <w:r>
          <w:rPr>
            <w:rStyle w:val="a9"/>
            <w:sz w:val="24"/>
            <w:szCs w:val="24"/>
          </w:rPr>
          <w:t>графе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делается запись: "Согласно прилагаемому списку")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7.  Сведения об организациях, осуществляющих шефство над воинским захоронением (оказывающих помощь в его благоустройстве и содержании)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8.   Фотоснимок захоронения (или его основной части с памятником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(надгробием), сделанный в летнее время года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9.   Схема (координаты, в том числе ГЛОНАСС (GPS) расположения захоронения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(наносится схема расположения, ориентированная с юга на север относительно объектов местности, с указанием подъездных путей к захоронению)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10. Дополнительная информация о захоронении</w:t>
      </w:r>
    </w:p>
    <w:p w:rsidR="00092644" w:rsidRDefault="0009264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11. Подписи заинтересованных должностных лиц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23"/>
        <w:gridCol w:w="567"/>
        <w:gridCol w:w="1559"/>
        <w:gridCol w:w="426"/>
        <w:gridCol w:w="3115"/>
      </w:tblGrid>
      <w:tr w:rsidR="00092644">
        <w:tc>
          <w:tcPr>
            <w:tcW w:w="3823" w:type="dxa"/>
            <w:shd w:val="clear" w:color="auto" w:fill="auto"/>
          </w:tcPr>
          <w:p w:rsidR="00092644" w:rsidRDefault="00092644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092644" w:rsidRDefault="00A13BC8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</w:t>
            </w:r>
            <w:r w:rsidR="0009264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  <w:p w:rsidR="00092644" w:rsidRDefault="00092644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</w:p>
          <w:p w:rsidR="00092644" w:rsidRDefault="00092644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                 </w:t>
            </w:r>
          </w:p>
        </w:tc>
        <w:tc>
          <w:tcPr>
            <w:tcW w:w="567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4" w:rsidRDefault="00092644">
            <w:pPr>
              <w:pStyle w:val="ConsPlusNonformat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4" w:rsidRDefault="00092644">
            <w:pPr>
              <w:pStyle w:val="ConsPlusNonformat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44">
        <w:tc>
          <w:tcPr>
            <w:tcW w:w="3823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nformat0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Default="00092644">
            <w:pPr>
              <w:pStyle w:val="ConsPlusNonformat0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"__" ________ 20____ г.</w:t>
      </w: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23"/>
        <w:gridCol w:w="567"/>
        <w:gridCol w:w="1559"/>
        <w:gridCol w:w="426"/>
        <w:gridCol w:w="3115"/>
      </w:tblGrid>
      <w:tr w:rsidR="00092644">
        <w:tc>
          <w:tcPr>
            <w:tcW w:w="3823" w:type="dxa"/>
            <w:shd w:val="clear" w:color="auto" w:fill="auto"/>
          </w:tcPr>
          <w:p w:rsidR="00092644" w:rsidRDefault="00092644">
            <w:pPr>
              <w:pStyle w:val="ConsPlusNonformat0"/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 Саракташского и Беляевского районов</w:t>
            </w:r>
          </w:p>
        </w:tc>
        <w:tc>
          <w:tcPr>
            <w:tcW w:w="567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44">
        <w:tc>
          <w:tcPr>
            <w:tcW w:w="3823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092644" w:rsidRDefault="00092644">
            <w:pPr>
              <w:pStyle w:val="ConsPlusNonformat0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  <w:shd w:val="clear" w:color="auto" w:fill="auto"/>
          </w:tcPr>
          <w:p w:rsidR="00092644" w:rsidRDefault="00092644">
            <w:pPr>
              <w:pStyle w:val="ConsPlusNonformat0"/>
              <w:snapToGrid w:val="0"/>
              <w:spacing w:after="200" w:line="276" w:lineRule="auto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Default="00092644">
            <w:pPr>
              <w:pStyle w:val="ConsPlusNonformat0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092644" w:rsidRDefault="0009264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092644" w:rsidRDefault="0009264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"__" ________20____ г.</w:t>
      </w:r>
    </w:p>
    <w:p w:rsidR="00092644" w:rsidRDefault="0009264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644" w:rsidRDefault="00092644">
      <w:pPr>
        <w:tabs>
          <w:tab w:val="left" w:pos="9540"/>
        </w:tabs>
        <w:autoSpaceDE w:val="0"/>
        <w:spacing w:after="0" w:line="240" w:lineRule="auto"/>
        <w:ind w:firstLine="567"/>
        <w:jc w:val="center"/>
        <w:outlineLvl w:val="1"/>
      </w:pPr>
    </w:p>
    <w:sectPr w:rsidR="00092644">
      <w:headerReference w:type="default" r:id="rId8"/>
      <w:headerReference w:type="first" r:id="rId9"/>
      <w:pgSz w:w="11906" w:h="16838"/>
      <w:pgMar w:top="1134" w:right="849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86" w:rsidRDefault="009B3F86">
      <w:pPr>
        <w:spacing w:after="0" w:line="240" w:lineRule="auto"/>
      </w:pPr>
      <w:r>
        <w:separator/>
      </w:r>
    </w:p>
  </w:endnote>
  <w:endnote w:type="continuationSeparator" w:id="1">
    <w:p w:rsidR="009B3F86" w:rsidRDefault="009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86" w:rsidRDefault="009B3F86">
      <w:pPr>
        <w:spacing w:after="0" w:line="240" w:lineRule="auto"/>
      </w:pPr>
      <w:r>
        <w:separator/>
      </w:r>
    </w:p>
  </w:footnote>
  <w:footnote w:type="continuationSeparator" w:id="1">
    <w:p w:rsidR="009B3F86" w:rsidRDefault="009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092644">
    <w:pPr>
      <w:pStyle w:val="af8"/>
      <w:jc w:val="center"/>
    </w:pPr>
    <w:fldSimple w:instr=" PAGE ">
      <w:r w:rsidR="000F16E6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09264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D"/>
    <w:rsid w:val="00092644"/>
    <w:rsid w:val="000F16E6"/>
    <w:rsid w:val="00193401"/>
    <w:rsid w:val="004A5A32"/>
    <w:rsid w:val="00787BBD"/>
    <w:rsid w:val="008D73DA"/>
    <w:rsid w:val="009B3F86"/>
    <w:rsid w:val="00A13BC8"/>
    <w:rsid w:val="00A42E12"/>
    <w:rsid w:val="00E4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3z0">
    <w:name w:val="WW8Num23z0"/>
    <w:rPr>
      <w:rFonts w:hint="default"/>
      <w:lang w:val="ru-RU" w:bidi="ar-SA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35z1">
    <w:name w:val="WW8Num35z1"/>
    <w:rPr>
      <w:rFonts w:hint="default"/>
      <w:lang w:val="ru-RU" w:bidi="ar-SA"/>
    </w:rPr>
  </w:style>
  <w:style w:type="character" w:customStyle="1" w:styleId="WW8Num36z0">
    <w:name w:val="WW8Num36z0"/>
    <w:rPr>
      <w:rFonts w:ascii="Wingdings" w:hAnsi="Wingdings" w:cs="Wingdings" w:hint="default"/>
      <w:sz w:val="20"/>
    </w:rPr>
  </w:style>
  <w:style w:type="character" w:customStyle="1" w:styleId="WW8NumSt33z0">
    <w:name w:val="WW8NumSt33z0"/>
    <w:rPr>
      <w:rFonts w:ascii="Wingdings" w:hAnsi="Wingdings" w:cs="Wingdings" w:hint="default"/>
      <w:sz w:val="20"/>
    </w:rPr>
  </w:style>
  <w:style w:type="character" w:customStyle="1" w:styleId="WW8NumSt34z0">
    <w:name w:val="WW8NumSt34z0"/>
    <w:rPr>
      <w:rFonts w:ascii="Wingdings" w:hAnsi="Wingdings" w:cs="Wingdings" w:hint="default"/>
      <w:sz w:val="20"/>
    </w:rPr>
  </w:style>
  <w:style w:type="character" w:customStyle="1" w:styleId="WW8NumSt35z0">
    <w:name w:val="WW8NumSt35z0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rFonts w:ascii="Calibri" w:eastAsia="Calibri" w:hAnsi="Calibri" w:cs="Times New Roman"/>
    </w:rPr>
  </w:style>
  <w:style w:type="character" w:customStyle="1" w:styleId="a4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Pr>
      <w:rFonts w:ascii="Times New Roman" w:hAnsi="Times New Roman" w:cs="Times New Roman"/>
      <w:lang/>
    </w:rPr>
  </w:style>
  <w:style w:type="character" w:customStyle="1" w:styleId="20">
    <w:name w:val="Заголовок 2 Знак"/>
    <w:basedOn w:val="10"/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eastAsia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10"/>
    <w:rPr>
      <w:rFonts w:ascii="Times New Roman" w:hAnsi="Times New Roman" w:cs="Times New Roman"/>
      <w:b/>
      <w:bCs/>
      <w:lang w:eastAsia="zh-CN"/>
    </w:rPr>
  </w:style>
  <w:style w:type="character" w:customStyle="1" w:styleId="a7">
    <w:name w:val="Нижний колонтитул Знак"/>
    <w:basedOn w:val="10"/>
    <w:rPr>
      <w:lang/>
    </w:rPr>
  </w:style>
  <w:style w:type="character" w:styleId="a8">
    <w:name w:val="page number"/>
    <w:rPr>
      <w:rFonts w:cs="Times New Roman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b">
    <w:name w:val="Основной текст Знак"/>
    <w:basedOn w:val="10"/>
    <w:rPr>
      <w:rFonts w:ascii="Times New Roman" w:hAnsi="Times New Roman" w:cs="Times New Roman"/>
      <w:sz w:val="24"/>
      <w:szCs w:val="24"/>
      <w:lang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18">
    <w:name w:val="Font Style18"/>
    <w:rPr>
      <w:rFonts w:ascii="Arial" w:hAnsi="Arial" w:cs="Arial"/>
      <w:b/>
      <w:spacing w:val="-10"/>
      <w:sz w:val="20"/>
    </w:rPr>
  </w:style>
  <w:style w:type="character" w:customStyle="1" w:styleId="ac">
    <w:name w:val="Текст сноски Знак"/>
    <w:basedOn w:val="10"/>
    <w:rPr>
      <w:rFonts w:ascii="Times New Roman" w:hAnsi="Times New Roman" w:cs="Times New Roman"/>
      <w:lang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21">
    <w:name w:val="Основной текст (2)_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rPr>
      <w:b/>
      <w:bCs/>
      <w:sz w:val="21"/>
      <w:szCs w:val="21"/>
      <w:shd w:val="clear" w:color="auto" w:fill="FFFFFF"/>
    </w:rPr>
  </w:style>
  <w:style w:type="character" w:customStyle="1" w:styleId="160">
    <w:name w:val="Основной текст (16) + Не полужирный"/>
  </w:style>
  <w:style w:type="character" w:styleId="ad">
    <w:name w:val="Emphasis"/>
    <w:qFormat/>
    <w:rPr>
      <w:i/>
      <w:iCs/>
    </w:rPr>
  </w:style>
  <w:style w:type="character" w:customStyle="1" w:styleId="blk">
    <w:name w:val="blk"/>
    <w:basedOn w:val="10"/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styleId="ae">
    <w:name w:val="Strong"/>
    <w:qFormat/>
    <w:rPr>
      <w:b/>
      <w:bCs/>
      <w:color w:val="000000"/>
    </w:rPr>
  </w:style>
  <w:style w:type="character" w:customStyle="1" w:styleId="af">
    <w:name w:val="Основной текст_"/>
    <w:basedOn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Текст концевой сноски Знак"/>
    <w:basedOn w:val="10"/>
    <w:rPr>
      <w:rFonts w:eastAsia="Times New Roman"/>
      <w:lang/>
    </w:rPr>
  </w:style>
  <w:style w:type="character" w:customStyle="1" w:styleId="docdata">
    <w:name w:val="docdata"/>
    <w:basedOn w:val="10"/>
  </w:style>
  <w:style w:type="character" w:customStyle="1" w:styleId="22">
    <w:name w:val="Основной текст с отступом 2 Знак"/>
    <w:basedOn w:val="10"/>
    <w:rPr>
      <w:sz w:val="22"/>
      <w:szCs w:val="22"/>
    </w:rPr>
  </w:style>
  <w:style w:type="character" w:customStyle="1" w:styleId="af1">
    <w:name w:val="Название Знак"/>
    <w:basedOn w:val="10"/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Текст выноски Знак1"/>
    <w:basedOn w:val="10"/>
    <w:rPr>
      <w:rFonts w:ascii="Tahoma" w:eastAsia="Times New Roman" w:hAnsi="Tahoma" w:cs="Tahoma"/>
      <w:sz w:val="16"/>
      <w:szCs w:val="16"/>
    </w:rPr>
  </w:style>
  <w:style w:type="character" w:customStyle="1" w:styleId="af2">
    <w:name w:val="Гипертекстовая ссылка"/>
    <w:basedOn w:val="10"/>
    <w:rPr>
      <w:color w:val="106BBE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FontStyle60">
    <w:name w:val="Font Style60"/>
    <w:basedOn w:val="10"/>
    <w:rPr>
      <w:rFonts w:ascii="Times New Roman" w:hAnsi="Times New Roman" w:cs="Times New Roman"/>
      <w:sz w:val="26"/>
      <w:szCs w:val="26"/>
    </w:rPr>
  </w:style>
  <w:style w:type="character" w:customStyle="1" w:styleId="af4">
    <w:name w:val="Цветовое выделение"/>
    <w:rPr>
      <w:b/>
      <w:bCs/>
      <w:color w:val="26282F"/>
    </w:rPr>
  </w:style>
  <w:style w:type="paragraph" w:customStyle="1" w:styleId="Heading">
    <w:name w:val="Heading"/>
    <w:basedOn w:val="a"/>
    <w:next w:val="a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f5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paragraph" w:styleId="af6">
    <w:name w:val="List"/>
    <w:basedOn w:val="af5"/>
    <w:rPr>
      <w:rFonts w:cs="Nirmala U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d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8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footnote text"/>
    <w:basedOn w:val="a"/>
    <w:pPr>
      <w:autoSpaceDE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bt">
    <w:name w:val="bt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1">
    <w:name w:val="Основной текст (16)"/>
    <w:basedOn w:val="a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ListParagraph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f">
    <w:name w:val="Знак Знак Знак Знак Знак Знак Знак Знак Знак"/>
    <w:basedOn w:val="a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f0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Знак 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 Знак Знак8 Знак Знак"/>
    <w:basedOn w:val="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ff3">
    <w:name w:val="endnote text"/>
    <w:basedOn w:val="a"/>
    <w:pPr>
      <w:spacing w:after="0" w:line="240" w:lineRule="auto"/>
    </w:pPr>
    <w:rPr>
      <w:rFonts w:eastAsia="Times New Roman"/>
      <w:sz w:val="20"/>
      <w:szCs w:val="20"/>
      <w:lang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yle11">
    <w:name w:val="Style11"/>
    <w:basedOn w:val="a"/>
    <w:pPr>
      <w:widowControl w:val="0"/>
      <w:autoSpaceDE w:val="0"/>
      <w:spacing w:after="0" w:line="318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5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f6">
    <w:name w:val="No Spacing"/>
    <w:uiPriority w:val="1"/>
    <w:qFormat/>
    <w:rsid w:val="00A13BC8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2023-05-24T04:03:00Z</cp:lastPrinted>
  <dcterms:created xsi:type="dcterms:W3CDTF">2023-06-13T10:43:00Z</dcterms:created>
  <dcterms:modified xsi:type="dcterms:W3CDTF">2023-06-13T10:43:00Z</dcterms:modified>
</cp:coreProperties>
</file>